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color w:val="1F3864"/>
          <w:sz w:val="40"/>
          <w:szCs w:val="40"/>
        </w:rPr>
        <w:t xml:space="preserve">L'uniforme du maréchal Fiodor Tolboukhine</w:t>
      </w:r>
    </w:p>
    <w:p>
      <w:pPr>
        <w:spacing w:after="400"/>
        <w:jc w:val="center"/>
      </w:pPr>
      <w:r>
        <w:rPr>
          <w:i/>
          <w:iCs/>
          <w:color w:val="555555"/>
          <w:sz w:val="24"/>
          <w:szCs w:val="24"/>
        </w:rPr>
        <w:t xml:space="preserve">Étude de conformité au règlement soviétique de tenue (1943–1949)</w:t>
      </w:r>
    </w:p>
    <w:p>
      <w:pPr>
        <w:pStyle w:val="Heading1"/>
        <w:spacing w:after="150" w:before="300"/>
      </w:pPr>
      <w:r>
        <w:rPr>
          <w:b/>
          <w:bCs/>
          <w:color w:val="8B1E1E"/>
        </w:rPr>
        <w:t xml:space="preserve">1. Identification</w:t>
      </w:r>
    </w:p>
    <w:p>
      <w:pPr>
        <w:spacing w:after="160" w:line="300"/>
      </w:pPr>
      <w:r>
        <w:t xml:space="preserve">La pièce photographiée — vareuse, casquette, épaulettes, décorations — est présentée dans une vitrine de musée accompagnée d'une fiche biographique identifiant clairement le personnage : </w:t>
      </w:r>
    </w:p>
    <w:p>
      <w:pPr>
        <w:spacing w:after="160" w:line="300"/>
      </w:pPr>
      <w:r>
        <w:rPr>
          <w:b/>
          <w:bCs/>
        </w:rPr>
        <w:t xml:space="preserve">Fiodor Ivanovitch Tolboukhine (Толбухин Фёдор Иванович), 1894–1949, Maréchal de l'Union soviétique (1944), Héros de l'Union soviétique (1965, à titre posthume), titulaire de l'Ordre « Victoire » (1945).</w:t>
      </w:r>
    </w:p>
    <w:p>
      <w:pPr>
        <w:spacing w:after="160" w:line="300"/>
      </w:pPr>
      <w:r>
        <w:t xml:space="preserve">Il commanda notamment le 3ᵉ front ukrainien à partir de mai 1944, engagé dans les opérations de Iași-Chișinău, de Belgrade et de Budapest, avant de prendre la tête du groupe de forces du Sud puis du district militaire du Caucase. Il meurt en fonction le 17 octobre 1949, ce qui situe cet uniforme — modèle de parade des maréchaux — dans la période d'application des règlements de 1943 et 1945, en vigueur jusqu'en 1955.</w:t>
      </w:r>
    </w:p>
    <w:p>
      <w:pPr>
        <w:spacing w:after="60" w:before="120"/>
        <w:jc w:val="center"/>
      </w:pPr>
      <w:r>
        <w:drawing>
          <wp:inline distT="0" distB="0" distL="0" distR="0">
            <wp:extent cx="3524250" cy="52863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3524250" cy="5286375"/>
                    </a:xfrm>
                    <a:prstGeom prst="rect">
                      <a:avLst/>
                    </a:prstGeom>
                  </pic:spPr>
                </pic:pic>
              </a:graphicData>
            </a:graphic>
          </wp:inline>
        </w:drawing>
      </w:r>
    </w:p>
    <w:p>
      <w:pPr>
        <w:spacing w:after="300"/>
        <w:jc w:val="center"/>
      </w:pPr>
      <w:r>
        <w:rPr>
          <w:i/>
          <w:iCs/>
          <w:color w:val="555555"/>
          <w:sz w:val="18"/>
          <w:szCs w:val="18"/>
        </w:rPr>
        <w:t xml:space="preserve">Fiche du musée identifiant le maréchal Tolboukhine, avec portrait en tenue de parade.</w:t>
      </w:r>
    </w:p>
    <w:p>
      <w:pPr>
        <w:pStyle w:val="Heading1"/>
        <w:spacing w:after="150" w:before="300"/>
      </w:pPr>
      <w:r>
        <w:rPr>
          <w:b/>
          <w:bCs/>
          <w:color w:val="8B1E1E"/>
        </w:rPr>
        <w:t xml:space="preserve">2. Cadre réglementaire applicable</w:t>
      </w:r>
    </w:p>
    <w:p>
      <w:pPr>
        <w:spacing w:after="160" w:line="300"/>
      </w:pPr>
      <w:r>
        <w:t xml:space="preserve">Trois textes structurent la tenue des maréchaux soviétiques pendant la période concernée :</w:t>
      </w:r>
    </w:p>
    <w:p>
      <w:pPr>
        <w:pStyle w:val="ListParagraph"/>
        <w:numPr>
          <w:ilvl w:val="0"/>
          <w:numId w:val="1"/>
        </w:numPr>
        <w:spacing w:after="80"/>
      </w:pPr>
      <w:r>
        <w:t xml:space="preserve">L'arrêté du Commissariat du peuple à la Défense (NKO) n° 25 du 15 janvier 1943, qui introduit les épaulettes et refond l'ensemble du système d'insignes de l'Armée rouge, abolissant les pattes de col au profit des grades portés sur l'épaule.</w:t>
      </w:r>
    </w:p>
    <w:p>
      <w:pPr>
        <w:pStyle w:val="ListParagraph"/>
        <w:numPr>
          <w:ilvl w:val="0"/>
          <w:numId w:val="1"/>
        </w:numPr>
        <w:spacing w:after="80"/>
      </w:pPr>
      <w:r>
        <w:t xml:space="preserve">L'arrêté de mai 1943 puis celui de mai 1945, qui fixent spécifiquement la tenue de parade du maréchal de l'Union soviétique — tunique bleue à broderie dorée en feuilles de chêne, casquette à bourdalou brodé, étoile de col — en vue notamment du défilé de la Victoire du 24 juin 1945 à Moscou.</w:t>
      </w:r>
    </w:p>
    <w:p>
      <w:pPr>
        <w:pStyle w:val="ListParagraph"/>
        <w:numPr>
          <w:ilvl w:val="0"/>
          <w:numId w:val="1"/>
        </w:numPr>
        <w:spacing w:after="80"/>
      </w:pPr>
      <w:r>
        <w:t xml:space="preserve">Ce système d'insignes reste en vigueur sans changement majeur de 1946 à 1955, date de la réforme suivante.</w:t>
      </w:r>
    </w:p>
    <w:p>
      <w:pPr>
        <w:spacing w:after="160" w:line="300"/>
      </w:pPr>
      <w:r>
        <w:t xml:space="preserve">L'uniforme visible sur les photographies correspond donc, par sa date de service du maréchal (jusqu'en 1949), au modèle « M43/M45 » resté réglementaire sans interruption jusqu'à sa mort.</w:t>
      </w:r>
    </w:p>
    <w:p>
      <w:pPr>
        <w:pStyle w:val="Heading1"/>
        <w:spacing w:after="150" w:before="300"/>
      </w:pPr>
      <w:r>
        <w:rPr>
          <w:b/>
          <w:bCs/>
          <w:color w:val="8B1E1E"/>
        </w:rPr>
        <w:t xml:space="preserve">3. Analyse détaillée, élément par élément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22"/>
        <w:gridCol w:w="3629"/>
        <w:gridCol w:w="3629"/>
      </w:tblGrid>
      <w:tr>
        <w:tc>
          <w:tcPr>
            <w:tcW w:type="dxa" w:w="2822"/>
            <w:shd w:fill="1F3864" w:val="clear"/>
            <w:tcMar>
              <w:top w:type="dxa" w:w="100"/>
              <w:left w:type="dxa" w:w="120"/>
              <w:bottom w:type="dxa" w:w="100"/>
              <w:right w:type="dxa" w:w="120"/>
            </w:tcMar>
          </w:tcPr>
          <w:p>
            <w:r>
              <w:rPr>
                <w:b/>
                <w:bCs/>
                <w:color w:val="FFFFFF"/>
                <w:sz w:val="20"/>
                <w:szCs w:val="20"/>
              </w:rPr>
              <w:t xml:space="preserve">Élément d'uniforme</w:t>
            </w:r>
          </w:p>
        </w:tc>
        <w:tc>
          <w:tcPr>
            <w:tcW w:type="dxa" w:w="3629"/>
            <w:shd w:fill="1F3864" w:val="clear"/>
            <w:tcMar>
              <w:top w:type="dxa" w:w="100"/>
              <w:left w:type="dxa" w:w="120"/>
              <w:bottom w:type="dxa" w:w="100"/>
              <w:right w:type="dxa" w:w="120"/>
            </w:tcMar>
          </w:tcPr>
          <w:p>
            <w:r>
              <w:rPr>
                <w:b/>
                <w:bCs/>
                <w:color w:val="FFFFFF"/>
                <w:sz w:val="20"/>
                <w:szCs w:val="20"/>
              </w:rPr>
              <w:t xml:space="preserve">Exigence réglementaire (arrêtés de 1943 et 1945)</w:t>
            </w:r>
          </w:p>
        </w:tc>
        <w:tc>
          <w:tcPr>
            <w:tcW w:type="dxa" w:w="3629"/>
            <w:shd w:fill="1F3864" w:val="clear"/>
            <w:tcMar>
              <w:top w:type="dxa" w:w="100"/>
              <w:left w:type="dxa" w:w="120"/>
              <w:bottom w:type="dxa" w:w="100"/>
              <w:right w:type="dxa" w:w="120"/>
            </w:tcMar>
          </w:tcPr>
          <w:p>
            <w:r>
              <w:rPr>
                <w:b/>
                <w:bCs/>
                <w:color w:val="FFFFFF"/>
                <w:sz w:val="20"/>
                <w:szCs w:val="20"/>
              </w:rPr>
              <w:t xml:space="preserve">Constat sur l'uniforme photographié</w:t>
            </w:r>
          </w:p>
        </w:tc>
      </w:tr>
      <w:tr>
        <w:tc>
          <w:tcPr>
            <w:tcW w:type="dxa" w:w="2822"/>
            <w:tcMar>
              <w:top w:type="dxa" w:w="100"/>
              <w:left w:type="dxa" w:w="120"/>
              <w:bottom w:type="dxa" w:w="100"/>
              <w:right w:type="dxa" w:w="120"/>
            </w:tcMar>
          </w:tcPr>
          <w:p>
            <w:r>
              <w:rPr>
                <w:b w:val="false"/>
                <w:bCs w:val="false"/>
                <w:color w:val="000000"/>
                <w:sz w:val="20"/>
                <w:szCs w:val="20"/>
              </w:rPr>
              <w:t xml:space="preserve">Casquette (fourrage)</w:t>
            </w:r>
          </w:p>
        </w:tc>
        <w:tc>
          <w:tcPr>
            <w:tcW w:type="dxa" w:w="3629"/>
            <w:tcMar>
              <w:top w:type="dxa" w:w="100"/>
              <w:left w:type="dxa" w:w="120"/>
              <w:bottom w:type="dxa" w:w="100"/>
              <w:right w:type="dxa" w:w="120"/>
            </w:tcMar>
          </w:tcPr>
          <w:p>
            <w:r>
              <w:rPr>
                <w:b w:val="false"/>
                <w:bCs w:val="false"/>
                <w:color w:val="000000"/>
                <w:sz w:val="20"/>
                <w:szCs w:val="20"/>
              </w:rPr>
              <w:t xml:space="preserve">Fond bleu, bandeau rouge, jugulaire dorée tressée, bourdalou brodé de feuilles de chêne dorées, cocarde étoilée au centre.</w:t>
            </w:r>
          </w:p>
        </w:tc>
        <w:tc>
          <w:tcPr>
            <w:tcW w:type="dxa" w:w="3629"/>
            <w:tcMar>
              <w:top w:type="dxa" w:w="100"/>
              <w:left w:type="dxa" w:w="120"/>
              <w:bottom w:type="dxa" w:w="100"/>
              <w:right w:type="dxa" w:w="120"/>
            </w:tcMar>
          </w:tcPr>
          <w:p>
            <w:r>
              <w:rPr>
                <w:b w:val="false"/>
                <w:bCs w:val="false"/>
                <w:color w:val="000000"/>
                <w:sz w:val="20"/>
                <w:szCs w:val="20"/>
              </w:rPr>
              <w:t xml:space="preserve">Conforme : fond bleu, bandeau rouge, riche broderie dorée en feuilles de chêne, jugulaire dorée, étoile centrale visible.</w:t>
            </w:r>
          </w:p>
        </w:tc>
      </w:tr>
      <w:tr>
        <w:tc>
          <w:tcPr>
            <w:tcW w:type="dxa" w:w="2822"/>
            <w:tcMar>
              <w:top w:type="dxa" w:w="100"/>
              <w:left w:type="dxa" w:w="120"/>
              <w:bottom w:type="dxa" w:w="100"/>
              <w:right w:type="dxa" w:w="120"/>
            </w:tcMar>
          </w:tcPr>
          <w:p>
            <w:r>
              <w:rPr>
                <w:b w:val="false"/>
                <w:bCs w:val="false"/>
                <w:color w:val="000000"/>
                <w:sz w:val="20"/>
                <w:szCs w:val="20"/>
              </w:rPr>
              <w:t xml:space="preserve">Couleur et coupe de la tunique</w:t>
            </w:r>
          </w:p>
        </w:tc>
        <w:tc>
          <w:tcPr>
            <w:tcW w:type="dxa" w:w="3629"/>
            <w:tcMar>
              <w:top w:type="dxa" w:w="100"/>
              <w:left w:type="dxa" w:w="120"/>
              <w:bottom w:type="dxa" w:w="100"/>
              <w:right w:type="dxa" w:w="120"/>
            </w:tcMar>
          </w:tcPr>
          <w:p>
            <w:r>
              <w:rPr>
                <w:b w:val="false"/>
                <w:bCs w:val="false"/>
                <w:color w:val="000000"/>
                <w:sz w:val="20"/>
                <w:szCs w:val="20"/>
              </w:rPr>
              <w:t xml:space="preserve">Drap bleu foncé, double boutonnage, col officier droit, passepoil rouge sur devant, col et parements.</w:t>
            </w:r>
          </w:p>
        </w:tc>
        <w:tc>
          <w:tcPr>
            <w:tcW w:type="dxa" w:w="3629"/>
            <w:tcMar>
              <w:top w:type="dxa" w:w="100"/>
              <w:left w:type="dxa" w:w="120"/>
              <w:bottom w:type="dxa" w:w="100"/>
              <w:right w:type="dxa" w:w="120"/>
            </w:tcMar>
          </w:tcPr>
          <w:p>
            <w:r>
              <w:rPr>
                <w:b w:val="false"/>
                <w:bCs w:val="false"/>
                <w:color w:val="000000"/>
                <w:sz w:val="20"/>
                <w:szCs w:val="20"/>
              </w:rPr>
              <w:t xml:space="preserve">Conforme : tunique bleu foncé à double rang de boutons dorés, passepoil rouge net sur la parementure et le col.</w:t>
            </w:r>
          </w:p>
        </w:tc>
      </w:tr>
      <w:tr>
        <w:tc>
          <w:tcPr>
            <w:tcW w:type="dxa" w:w="2822"/>
            <w:tcMar>
              <w:top w:type="dxa" w:w="100"/>
              <w:left w:type="dxa" w:w="120"/>
              <w:bottom w:type="dxa" w:w="100"/>
              <w:right w:type="dxa" w:w="120"/>
            </w:tcMar>
          </w:tcPr>
          <w:p>
            <w:r>
              <w:rPr>
                <w:b w:val="false"/>
                <w:bCs w:val="false"/>
                <w:color w:val="000000"/>
                <w:sz w:val="20"/>
                <w:szCs w:val="20"/>
              </w:rPr>
              <w:t xml:space="preserve">Épaulettes</w:t>
            </w:r>
          </w:p>
        </w:tc>
        <w:tc>
          <w:tcPr>
            <w:tcW w:type="dxa" w:w="3629"/>
            <w:tcMar>
              <w:top w:type="dxa" w:w="100"/>
              <w:left w:type="dxa" w:w="120"/>
              <w:bottom w:type="dxa" w:w="100"/>
              <w:right w:type="dxa" w:w="120"/>
            </w:tcMar>
          </w:tcPr>
          <w:p>
            <w:r>
              <w:rPr>
                <w:b w:val="false"/>
                <w:bCs w:val="false"/>
                <w:color w:val="000000"/>
                <w:sz w:val="20"/>
                <w:szCs w:val="20"/>
              </w:rPr>
              <w:t xml:space="preserve">Épaulettes rigides dorées brodées à la main, sans étoiles individuelles (le grade de maréchal se distingue par la grande étoile portée au col, pas par des insignes d'épaule numérotés).</w:t>
            </w:r>
          </w:p>
        </w:tc>
        <w:tc>
          <w:tcPr>
            <w:tcW w:type="dxa" w:w="3629"/>
            <w:tcMar>
              <w:top w:type="dxa" w:w="100"/>
              <w:left w:type="dxa" w:w="120"/>
              <w:bottom w:type="dxa" w:w="100"/>
              <w:right w:type="dxa" w:w="120"/>
            </w:tcMar>
          </w:tcPr>
          <w:p>
            <w:r>
              <w:rPr>
                <w:b w:val="false"/>
                <w:bCs w:val="false"/>
                <w:color w:val="000000"/>
                <w:sz w:val="20"/>
                <w:szCs w:val="20"/>
              </w:rPr>
              <w:t xml:space="preserve">Conforme : épaulettes dorées unies, de forme et de broderie caractéristiques du grade de maréchal.</w:t>
            </w:r>
          </w:p>
        </w:tc>
      </w:tr>
      <w:tr>
        <w:tc>
          <w:tcPr>
            <w:tcW w:type="dxa" w:w="2822"/>
            <w:tcMar>
              <w:top w:type="dxa" w:w="100"/>
              <w:left w:type="dxa" w:w="120"/>
              <w:bottom w:type="dxa" w:w="100"/>
              <w:right w:type="dxa" w:w="120"/>
            </w:tcMar>
          </w:tcPr>
          <w:p>
            <w:r>
              <w:rPr>
                <w:b w:val="false"/>
                <w:bCs w:val="false"/>
                <w:color w:val="000000"/>
                <w:sz w:val="20"/>
                <w:szCs w:val="20"/>
              </w:rPr>
              <w:t xml:space="preserve">Étoile de maréchal au col</w:t>
            </w:r>
          </w:p>
        </w:tc>
        <w:tc>
          <w:tcPr>
            <w:tcW w:type="dxa" w:w="3629"/>
            <w:tcMar>
              <w:top w:type="dxa" w:w="100"/>
              <w:left w:type="dxa" w:w="120"/>
              <w:bottom w:type="dxa" w:w="100"/>
              <w:right w:type="dxa" w:w="120"/>
            </w:tcMar>
          </w:tcPr>
          <w:p>
            <w:r>
              <w:rPr>
                <w:b w:val="false"/>
                <w:bCs w:val="false"/>
                <w:color w:val="000000"/>
                <w:sz w:val="20"/>
                <w:szCs w:val="20"/>
              </w:rPr>
              <w:t xml:space="preserve">Grande étoile à cinq branches sertie de strass/diamants (imitation), suspendue sous le col par un ruban rouge, insigne distinctif introduit en 1943.</w:t>
            </w:r>
          </w:p>
        </w:tc>
        <w:tc>
          <w:tcPr>
            <w:tcW w:type="dxa" w:w="3629"/>
            <w:tcMar>
              <w:top w:type="dxa" w:w="100"/>
              <w:left w:type="dxa" w:w="120"/>
              <w:bottom w:type="dxa" w:w="100"/>
              <w:right w:type="dxa" w:w="120"/>
            </w:tcMar>
          </w:tcPr>
          <w:p>
            <w:r>
              <w:rPr>
                <w:b w:val="false"/>
                <w:bCs w:val="false"/>
                <w:color w:val="000000"/>
                <w:sz w:val="20"/>
                <w:szCs w:val="20"/>
              </w:rPr>
              <w:t xml:space="preserve">Conforme : étoile scintillante bien visible, suspendue sous le col comme le prescrit le règlement.</w:t>
            </w:r>
          </w:p>
        </w:tc>
      </w:tr>
      <w:tr>
        <w:tc>
          <w:tcPr>
            <w:tcW w:type="dxa" w:w="2822"/>
            <w:tcMar>
              <w:top w:type="dxa" w:w="100"/>
              <w:left w:type="dxa" w:w="120"/>
              <w:bottom w:type="dxa" w:w="100"/>
              <w:right w:type="dxa" w:w="120"/>
            </w:tcMar>
          </w:tcPr>
          <w:p>
            <w:r>
              <w:rPr>
                <w:b w:val="false"/>
                <w:bCs w:val="false"/>
                <w:color w:val="000000"/>
                <w:sz w:val="20"/>
                <w:szCs w:val="20"/>
              </w:rPr>
              <w:t xml:space="preserve">Boutons</w:t>
            </w:r>
          </w:p>
        </w:tc>
        <w:tc>
          <w:tcPr>
            <w:tcW w:type="dxa" w:w="3629"/>
            <w:tcMar>
              <w:top w:type="dxa" w:w="100"/>
              <w:left w:type="dxa" w:w="120"/>
              <w:bottom w:type="dxa" w:w="100"/>
              <w:right w:type="dxa" w:w="120"/>
            </w:tcMar>
          </w:tcPr>
          <w:p>
            <w:r>
              <w:rPr>
                <w:b w:val="false"/>
                <w:bCs w:val="false"/>
                <w:color w:val="000000"/>
                <w:sz w:val="20"/>
                <w:szCs w:val="20"/>
              </w:rPr>
              <w:t xml:space="preserve">Boutons dorés frappés de la faucille et du marteau, disposés sur deux rangées verticales.</w:t>
            </w:r>
          </w:p>
        </w:tc>
        <w:tc>
          <w:tcPr>
            <w:tcW w:type="dxa" w:w="3629"/>
            <w:tcMar>
              <w:top w:type="dxa" w:w="100"/>
              <w:left w:type="dxa" w:w="120"/>
              <w:bottom w:type="dxa" w:w="100"/>
              <w:right w:type="dxa" w:w="120"/>
            </w:tcMar>
          </w:tcPr>
          <w:p>
            <w:r>
              <w:rPr>
                <w:b w:val="false"/>
                <w:bCs w:val="false"/>
                <w:color w:val="000000"/>
                <w:sz w:val="20"/>
                <w:szCs w:val="20"/>
              </w:rPr>
              <w:t xml:space="preserve">Conforme : boutons dorés uniformes, alignement régulier sur les deux rangs.</w:t>
            </w:r>
          </w:p>
        </w:tc>
      </w:tr>
      <w:tr>
        <w:tc>
          <w:tcPr>
            <w:tcW w:type="dxa" w:w="2822"/>
            <w:tcMar>
              <w:top w:type="dxa" w:w="100"/>
              <w:left w:type="dxa" w:w="120"/>
              <w:bottom w:type="dxa" w:w="100"/>
              <w:right w:type="dxa" w:w="120"/>
            </w:tcMar>
          </w:tcPr>
          <w:p>
            <w:r>
              <w:rPr>
                <w:b w:val="false"/>
                <w:bCs w:val="false"/>
                <w:color w:val="000000"/>
                <w:sz w:val="20"/>
                <w:szCs w:val="20"/>
              </w:rPr>
              <w:t xml:space="preserve">Broderie des manches et du col</w:t>
            </w:r>
          </w:p>
        </w:tc>
        <w:tc>
          <w:tcPr>
            <w:tcW w:type="dxa" w:w="3629"/>
            <w:tcMar>
              <w:top w:type="dxa" w:w="100"/>
              <w:left w:type="dxa" w:w="120"/>
              <w:bottom w:type="dxa" w:w="100"/>
              <w:right w:type="dxa" w:w="120"/>
            </w:tcMar>
          </w:tcPr>
          <w:p>
            <w:r>
              <w:rPr>
                <w:b w:val="false"/>
                <w:bCs w:val="false"/>
                <w:color w:val="000000"/>
                <w:sz w:val="20"/>
                <w:szCs w:val="20"/>
              </w:rPr>
              <w:t xml:space="preserve">Feuilles de chêne dorées brodées sur les parements de manche pour les maréchaux (« broderie de maréchal »).</w:t>
            </w:r>
          </w:p>
        </w:tc>
        <w:tc>
          <w:tcPr>
            <w:tcW w:type="dxa" w:w="3629"/>
            <w:tcMar>
              <w:top w:type="dxa" w:w="100"/>
              <w:left w:type="dxa" w:w="120"/>
              <w:bottom w:type="dxa" w:w="100"/>
              <w:right w:type="dxa" w:w="120"/>
            </w:tcMar>
          </w:tcPr>
          <w:p>
            <w:r>
              <w:rPr>
                <w:b w:val="false"/>
                <w:bCs w:val="false"/>
                <w:color w:val="000000"/>
                <w:sz w:val="20"/>
                <w:szCs w:val="20"/>
              </w:rPr>
              <w:t xml:space="preserve">Conforme : large broderie dorée en feuilles de chêne visible sur les poignets.</w:t>
            </w:r>
          </w:p>
        </w:tc>
      </w:tr>
      <w:tr>
        <w:tc>
          <w:tcPr>
            <w:tcW w:type="dxa" w:w="2822"/>
            <w:tcMar>
              <w:top w:type="dxa" w:w="100"/>
              <w:left w:type="dxa" w:w="120"/>
              <w:bottom w:type="dxa" w:w="100"/>
              <w:right w:type="dxa" w:w="120"/>
            </w:tcMar>
          </w:tcPr>
          <w:p>
            <w:r>
              <w:rPr>
                <w:b w:val="false"/>
                <w:bCs w:val="false"/>
                <w:color w:val="000000"/>
                <w:sz w:val="20"/>
                <w:szCs w:val="20"/>
              </w:rPr>
              <w:t xml:space="preserve">Décorations et barrettes de rubans</w:t>
            </w:r>
          </w:p>
        </w:tc>
        <w:tc>
          <w:tcPr>
            <w:tcW w:type="dxa" w:w="3629"/>
            <w:tcMar>
              <w:top w:type="dxa" w:w="100"/>
              <w:left w:type="dxa" w:w="120"/>
              <w:bottom w:type="dxa" w:w="100"/>
              <w:right w:type="dxa" w:w="120"/>
            </w:tcMar>
          </w:tcPr>
          <w:p>
            <w:r>
              <w:rPr>
                <w:b w:val="false"/>
                <w:bCs w:val="false"/>
                <w:color w:val="000000"/>
                <w:sz w:val="20"/>
                <w:szCs w:val="20"/>
              </w:rPr>
              <w:t xml:space="preserve">Port groupé : étoiles des ordres les plus élevés à gauche, puis barrette de rubans, puis médailles, en ordre décroissant d'importance de haut en bas et de gauche à droite ; l'Ordre de la Victoire se porte isolément, plus bas, côté droit.</w:t>
            </w:r>
          </w:p>
        </w:tc>
        <w:tc>
          <w:tcPr>
            <w:tcW w:type="dxa" w:w="3629"/>
            <w:tcMar>
              <w:top w:type="dxa" w:w="100"/>
              <w:left w:type="dxa" w:w="120"/>
              <w:bottom w:type="dxa" w:w="100"/>
              <w:right w:type="dxa" w:w="120"/>
            </w:tcMar>
          </w:tcPr>
          <w:p>
            <w:r>
              <w:rPr>
                <w:b w:val="false"/>
                <w:bCs w:val="false"/>
                <w:color w:val="000000"/>
                <w:sz w:val="20"/>
                <w:szCs w:val="20"/>
              </w:rPr>
              <w:t xml:space="preserve">Globalement conforme à l'usage de présentation muséale : étoiles d'ordres à gauche, barrette de rubans multicolores, série de médailles ; l'Ordre « Победа » (Victoire), en diamants, est positionné séparément — cohérent avec son statut d'insigne unique et prestigieux.</w:t>
            </w:r>
          </w:p>
        </w:tc>
      </w:tr>
      <w:tr>
        <w:tc>
          <w:tcPr>
            <w:tcW w:type="dxa" w:w="2822"/>
            <w:tcMar>
              <w:top w:type="dxa" w:w="100"/>
              <w:left w:type="dxa" w:w="120"/>
              <w:bottom w:type="dxa" w:w="100"/>
              <w:right w:type="dxa" w:w="120"/>
            </w:tcMar>
          </w:tcPr>
          <w:p>
            <w:r>
              <w:rPr>
                <w:b w:val="false"/>
                <w:bCs w:val="false"/>
                <w:color w:val="000000"/>
                <w:sz w:val="20"/>
                <w:szCs w:val="20"/>
              </w:rPr>
              <w:t xml:space="preserve">Pantalon (non visible ici)</w:t>
            </w:r>
          </w:p>
        </w:tc>
        <w:tc>
          <w:tcPr>
            <w:tcW w:type="dxa" w:w="3629"/>
            <w:tcMar>
              <w:top w:type="dxa" w:w="100"/>
              <w:left w:type="dxa" w:w="120"/>
              <w:bottom w:type="dxa" w:w="100"/>
              <w:right w:type="dxa" w:w="120"/>
            </w:tcMar>
          </w:tcPr>
          <w:p>
            <w:r>
              <w:rPr>
                <w:b w:val="false"/>
                <w:bCs w:val="false"/>
                <w:color w:val="000000"/>
                <w:sz w:val="20"/>
                <w:szCs w:val="20"/>
              </w:rPr>
              <w:t xml:space="preserve">Pantalon bleu foncé à bande rouge (« lampas ») sur la couture extérieure.</w:t>
            </w:r>
          </w:p>
        </w:tc>
        <w:tc>
          <w:tcPr>
            <w:tcW w:type="dxa" w:w="3629"/>
            <w:tcMar>
              <w:top w:type="dxa" w:w="100"/>
              <w:left w:type="dxa" w:w="120"/>
              <w:bottom w:type="dxa" w:w="100"/>
              <w:right w:type="dxa" w:w="120"/>
            </w:tcMar>
          </w:tcPr>
          <w:p>
            <w:r>
              <w:rPr>
                <w:b w:val="false"/>
                <w:bCs w:val="false"/>
                <w:color w:val="000000"/>
                <w:sz w:val="20"/>
                <w:szCs w:val="20"/>
              </w:rPr>
              <w:t xml:space="preserve">Non documenté sur les photographies fournies (buste uniquement).</w:t>
            </w:r>
          </w:p>
        </w:tc>
      </w:tr>
    </w:tbl>
    <w:p>
      <w:r>
        <w:br w:type="page"/>
      </w:r>
    </w:p>
    <w:p>
      <w:pPr>
        <w:pStyle w:val="Heading1"/>
        <w:spacing w:after="150" w:before="300"/>
      </w:pPr>
      <w:r>
        <w:rPr>
          <w:b/>
          <w:bCs/>
          <w:color w:val="8B1E1E"/>
        </w:rPr>
        <w:t xml:space="preserve">4. Illustrations</w:t>
      </w:r>
    </w:p>
    <w:p>
      <w:pPr>
        <w:spacing w:after="60" w:before="120"/>
        <w:jc w:val="center"/>
      </w:pPr>
      <w:r>
        <w:drawing>
          <wp:inline distT="0" distB="0" distL="0" distR="0">
            <wp:extent cx="6076950" cy="4048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6076950" cy="4048125"/>
                    </a:xfrm>
                    <a:prstGeom prst="rect">
                      <a:avLst/>
                    </a:prstGeom>
                  </pic:spPr>
                </pic:pic>
              </a:graphicData>
            </a:graphic>
          </wp:inline>
        </w:drawing>
      </w:r>
    </w:p>
    <w:p>
      <w:pPr>
        <w:spacing w:after="300"/>
        <w:jc w:val="center"/>
      </w:pPr>
      <w:r>
        <w:rPr>
          <w:i/>
          <w:iCs/>
          <w:color w:val="555555"/>
          <w:sz w:val="18"/>
          <w:szCs w:val="18"/>
        </w:rPr>
        <w:t xml:space="preserve">Vareuse et casquette de parade : broderie de chêne dorée, étoile de col, barrette de décorations.</w:t>
      </w:r>
    </w:p>
    <w:p>
      <w:pPr>
        <w:spacing w:after="60" w:before="120"/>
        <w:jc w:val="center"/>
      </w:pPr>
      <w:r>
        <w:drawing>
          <wp:inline distT="0" distB="0" distL="0" distR="0">
            <wp:extent cx="6076950" cy="4048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076950" cy="4048125"/>
                    </a:xfrm>
                    <a:prstGeom prst="rect">
                      <a:avLst/>
                    </a:prstGeom>
                  </pic:spPr>
                </pic:pic>
              </a:graphicData>
            </a:graphic>
          </wp:inline>
        </w:drawing>
      </w:r>
    </w:p>
    <w:p>
      <w:pPr>
        <w:spacing w:after="300"/>
        <w:jc w:val="center"/>
      </w:pPr>
      <w:r>
        <w:rPr>
          <w:i/>
          <w:iCs/>
          <w:color w:val="555555"/>
          <w:sz w:val="18"/>
          <w:szCs w:val="18"/>
        </w:rPr>
        <w:t xml:space="preserve">Détail des épaulettes dorées et de l'Ordre « Victoire » serti de pierres, porté séparément sous la barrette.</w:t>
      </w:r>
    </w:p>
    <w:p>
      <w:pPr>
        <w:pStyle w:val="Heading1"/>
        <w:spacing w:after="150" w:before="300"/>
      </w:pPr>
      <w:r>
        <w:rPr>
          <w:b/>
          <w:bCs/>
          <w:color w:val="8B1E1E"/>
        </w:rPr>
        <w:t xml:space="preserve">5. Conclusion</w:t>
      </w:r>
    </w:p>
    <w:p>
      <w:pPr>
        <w:spacing w:after="160" w:line="300"/>
      </w:pPr>
      <w:r>
        <w:t xml:space="preserve">Sur la base des éléments visibles — casquette, tunique, épaulettes, étoile de col et décorations — l'uniforme correspond point par point au modèle réglementaire de parade du maréchal de l'Union soviétique tel que fixé par les arrêtés de janvier 1943 et de mai 1943/1945, en vigueur jusqu'en 1955 et donc pendant toute la période où Tolboukhine porta ce grade (1944–1949).</w:t>
      </w:r>
    </w:p>
    <w:p>
      <w:pPr>
        <w:spacing w:after="160" w:line="300"/>
      </w:pPr>
      <w:r>
        <w:t xml:space="preserve">Deux réserves méthodologiques s'imposent :</w:t>
      </w:r>
    </w:p>
    <w:p>
      <w:pPr>
        <w:pStyle w:val="ListParagraph"/>
        <w:numPr>
          <w:ilvl w:val="0"/>
          <w:numId w:val="1"/>
        </w:numPr>
        <w:spacing w:after="80"/>
      </w:pPr>
      <w:r>
        <w:t xml:space="preserve">Les photographies ne montrent que le buste ; le pantalon galife à bande rouge, également réglementaire, n'est pas documenté ici.</w:t>
      </w:r>
    </w:p>
    <w:p>
      <w:pPr>
        <w:pStyle w:val="ListParagraph"/>
        <w:numPr>
          <w:ilvl w:val="0"/>
          <w:numId w:val="1"/>
        </w:numPr>
        <w:spacing w:after="80"/>
      </w:pPr>
      <w:r>
        <w:t xml:space="preserve">L'agencement exact des décorations sur une vareuse de musée peut différer légèrement de celui porté du vivant du maréchal (remontage lors d'une restauration ou d'une mise en exposition), sans que cela remette en cause la conformité générale de la coupe et des insignes de grade eux-mêmes.</w:t>
      </w:r>
    </w:p>
    <w:p>
      <w:pPr>
        <w:spacing w:after="160" w:line="300"/>
      </w:pPr>
      <w:r>
        <w:rPr>
          <w:b/>
          <w:bCs/>
        </w:rPr>
        <w:t xml:space="preserve">Sous ces réserves, l'uniforme apparaît fidèle au règlement de l'époque.</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aea994b2b6ac3e4263ea1a69120b46084875dcb.jpg"/><Relationship Id="rId8" Type="http://schemas.openxmlformats.org/officeDocument/2006/relationships/image" Target="media/29059b973c6d31e785f14de6374b3c038847f4b8.jpg"/><Relationship Id="rId9" Type="http://schemas.openxmlformats.org/officeDocument/2006/relationships/image" Target="media/b98e0a988d965d07590acab1d3605a67a96620a5.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2026-08-14T17:06:23.547Z</dcterms:created>
  <dcterms:modified xsi:type="dcterms:W3CDTF">2026-08-14T17:06:23.559Z</dcterms:modified>
</cp:coreProperties>
</file>

<file path=docProps/custom.xml><?xml version="1.0" encoding="utf-8"?>
<Properties xmlns="http://schemas.openxmlformats.org/officeDocument/2006/custom-properties" xmlns:vt="http://schemas.openxmlformats.org/officeDocument/2006/docPropsVTypes"/>
</file>